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C6F6" w14:textId="3DC58FE8" w:rsidR="007C7214" w:rsidRDefault="007C7214" w:rsidP="007C7214">
      <w:pPr>
        <w:tabs>
          <w:tab w:val="left" w:pos="709"/>
        </w:tabs>
        <w:ind w:right="99"/>
        <w:jc w:val="center"/>
      </w:pPr>
      <w:r>
        <w:rPr>
          <w:b/>
          <w:sz w:val="20"/>
          <w:u w:val="single"/>
        </w:rPr>
        <w:t xml:space="preserve">Caso </w:t>
      </w:r>
      <w:r w:rsidR="00D63350">
        <w:rPr>
          <w:b/>
          <w:sz w:val="20"/>
          <w:u w:val="single"/>
        </w:rPr>
        <w:t>de la Comunidad Moiwana</w:t>
      </w:r>
      <w:r>
        <w:rPr>
          <w:b/>
          <w:sz w:val="20"/>
          <w:u w:val="single"/>
        </w:rPr>
        <w:t xml:space="preserve"> </w:t>
      </w:r>
      <w:r w:rsidRPr="007C7214">
        <w:rPr>
          <w:b/>
          <w:i/>
          <w:iCs/>
          <w:sz w:val="20"/>
          <w:u w:val="single"/>
        </w:rPr>
        <w:t>Vs</w:t>
      </w:r>
      <w:r>
        <w:rPr>
          <w:b/>
          <w:sz w:val="20"/>
          <w:u w:val="single"/>
        </w:rPr>
        <w:t xml:space="preserve">. </w:t>
      </w:r>
      <w:r w:rsidR="00D63350">
        <w:rPr>
          <w:b/>
          <w:sz w:val="20"/>
          <w:u w:val="single"/>
        </w:rPr>
        <w:t>Surinam</w:t>
      </w:r>
      <w:r>
        <w:rPr>
          <w:b/>
          <w:sz w:val="20"/>
          <w:u w:val="single"/>
        </w:rPr>
        <w:t>: reparaciones pendientes de cumplimiento</w:t>
      </w:r>
    </w:p>
    <w:p w14:paraId="64872C4A" w14:textId="429F5E8E" w:rsidR="006F1C11" w:rsidRDefault="006F1C11"/>
    <w:p w14:paraId="751107D3" w14:textId="5654A1A3" w:rsidR="00CD2EFD" w:rsidRPr="00CD2EFD" w:rsidRDefault="00CD2EFD" w:rsidP="007C7214">
      <w:pPr>
        <w:jc w:val="both"/>
        <w:rPr>
          <w:sz w:val="20"/>
          <w:szCs w:val="20"/>
        </w:rPr>
      </w:pPr>
      <w:r w:rsidRPr="00CD2EFD">
        <w:rPr>
          <w:sz w:val="20"/>
          <w:szCs w:val="20"/>
        </w:rPr>
        <w:t xml:space="preserve">1. </w:t>
      </w:r>
      <w:r w:rsidR="00D63350">
        <w:rPr>
          <w:sz w:val="20"/>
          <w:szCs w:val="20"/>
        </w:rPr>
        <w:tab/>
      </w:r>
      <w:r w:rsidRPr="00CD2EFD">
        <w:rPr>
          <w:sz w:val="20"/>
          <w:szCs w:val="20"/>
        </w:rPr>
        <w:t>El Estado debe cumplir las medidas dispuestas relativas a su obligación de investigar los hechos denunciados, así como identificar, juzgar y sancionar a los</w:t>
      </w:r>
      <w:r w:rsidRPr="00CD2EFD">
        <w:rPr>
          <w:sz w:val="20"/>
          <w:szCs w:val="20"/>
        </w:rPr>
        <w:t xml:space="preserve"> </w:t>
      </w:r>
      <w:r w:rsidRPr="00CD2EFD">
        <w:rPr>
          <w:sz w:val="20"/>
          <w:szCs w:val="20"/>
        </w:rPr>
        <w:t xml:space="preserve">responsables, en los términos de los párrafos 202 a 207 de la Sentencia. </w:t>
      </w:r>
    </w:p>
    <w:p w14:paraId="4F778745" w14:textId="77777777" w:rsidR="00CD2EFD" w:rsidRPr="00CD2EFD" w:rsidRDefault="00CD2EFD" w:rsidP="007C7214">
      <w:pPr>
        <w:jc w:val="both"/>
        <w:rPr>
          <w:sz w:val="20"/>
          <w:szCs w:val="20"/>
        </w:rPr>
      </w:pPr>
    </w:p>
    <w:p w14:paraId="42091064" w14:textId="07C9CAE0" w:rsidR="00CD2EFD" w:rsidRPr="00CD2EFD" w:rsidRDefault="00CD2EFD" w:rsidP="007C7214">
      <w:pPr>
        <w:jc w:val="both"/>
        <w:rPr>
          <w:sz w:val="20"/>
          <w:szCs w:val="20"/>
        </w:rPr>
      </w:pPr>
      <w:r w:rsidRPr="00CD2EFD">
        <w:rPr>
          <w:sz w:val="20"/>
          <w:szCs w:val="20"/>
        </w:rPr>
        <w:t xml:space="preserve">2. </w:t>
      </w:r>
      <w:r w:rsidR="00D63350">
        <w:rPr>
          <w:sz w:val="20"/>
          <w:szCs w:val="20"/>
        </w:rPr>
        <w:tab/>
      </w:r>
      <w:r w:rsidRPr="00CD2EFD">
        <w:rPr>
          <w:sz w:val="20"/>
          <w:szCs w:val="20"/>
        </w:rPr>
        <w:t xml:space="preserve">El Estado debe, a la brevedad posible, recuperar los restos de los miembros de la comunidad Moiwana que fallecieron durante los hechos del 29 de noviembre de 1986, así como entregarlos a los miembros de la comunidad Moiwana sobrevivientes, en los términos del párrafo 208 de la Sentencia. </w:t>
      </w:r>
    </w:p>
    <w:p w14:paraId="0F5A7760" w14:textId="77777777" w:rsidR="00CD2EFD" w:rsidRPr="00CD2EFD" w:rsidRDefault="00CD2EFD" w:rsidP="007C7214">
      <w:pPr>
        <w:jc w:val="both"/>
        <w:rPr>
          <w:sz w:val="20"/>
          <w:szCs w:val="20"/>
        </w:rPr>
      </w:pPr>
    </w:p>
    <w:p w14:paraId="1A5138C9" w14:textId="6378B2FD" w:rsidR="00CD2EFD" w:rsidRPr="00CD2EFD" w:rsidRDefault="00CD2EFD" w:rsidP="007C7214">
      <w:pPr>
        <w:jc w:val="both"/>
        <w:rPr>
          <w:sz w:val="20"/>
          <w:szCs w:val="20"/>
        </w:rPr>
      </w:pPr>
      <w:r w:rsidRPr="00CD2EFD">
        <w:rPr>
          <w:sz w:val="20"/>
          <w:szCs w:val="20"/>
        </w:rPr>
        <w:t xml:space="preserve">3. </w:t>
      </w:r>
      <w:r w:rsidR="00D63350">
        <w:rPr>
          <w:sz w:val="20"/>
          <w:szCs w:val="20"/>
        </w:rPr>
        <w:tab/>
      </w:r>
      <w:r w:rsidRPr="00CD2EFD">
        <w:rPr>
          <w:sz w:val="20"/>
          <w:szCs w:val="20"/>
        </w:rPr>
        <w:t xml:space="preserve">El Estado debe adoptar todas las medidas legislativas, administrativas y de cualquier otra índole necesarias para asegurar a los miembros de la comunidad Moiwana su derecho de propiedad sobre los territorios tradicionales de los que fueron expulsados y asegurar, por lo tanto, el uso y goce de estos territorios. Estas medidas deberán incluir la creación de un mecanismo efectivo para delimitar, demarcar y titular dichos territorios tradicionales, en los términos de los párrafos 209 a 211 de la Sentencia. </w:t>
      </w:r>
    </w:p>
    <w:p w14:paraId="3C0B666A" w14:textId="77777777" w:rsidR="00CD2EFD" w:rsidRPr="00CD2EFD" w:rsidRDefault="00CD2EFD" w:rsidP="007C7214">
      <w:pPr>
        <w:jc w:val="both"/>
        <w:rPr>
          <w:sz w:val="20"/>
          <w:szCs w:val="20"/>
        </w:rPr>
      </w:pPr>
    </w:p>
    <w:p w14:paraId="60889774" w14:textId="287775EB" w:rsidR="00CD2EFD" w:rsidRPr="00CD2EFD" w:rsidRDefault="00CD2EFD" w:rsidP="007C7214">
      <w:pPr>
        <w:jc w:val="both"/>
        <w:rPr>
          <w:sz w:val="20"/>
          <w:szCs w:val="20"/>
        </w:rPr>
      </w:pPr>
      <w:r w:rsidRPr="00CD2EFD">
        <w:rPr>
          <w:sz w:val="20"/>
          <w:szCs w:val="20"/>
        </w:rPr>
        <w:t xml:space="preserve">4. </w:t>
      </w:r>
      <w:r w:rsidR="00D63350">
        <w:rPr>
          <w:sz w:val="20"/>
          <w:szCs w:val="20"/>
        </w:rPr>
        <w:tab/>
      </w:r>
      <w:r w:rsidRPr="00CD2EFD">
        <w:rPr>
          <w:sz w:val="20"/>
          <w:szCs w:val="20"/>
        </w:rPr>
        <w:t xml:space="preserve">El Estado debe garantizar la seguridad de los miembros de la comunidad Moiwana que decidan regresar a la aldea de Moiwana, en los términos del párrafo 212 de la Sentencia. </w:t>
      </w:r>
    </w:p>
    <w:p w14:paraId="0B05BB11" w14:textId="77777777" w:rsidR="00CD2EFD" w:rsidRPr="00CD2EFD" w:rsidRDefault="00CD2EFD" w:rsidP="007C7214">
      <w:pPr>
        <w:jc w:val="both"/>
        <w:rPr>
          <w:sz w:val="20"/>
          <w:szCs w:val="20"/>
        </w:rPr>
      </w:pPr>
    </w:p>
    <w:p w14:paraId="0EB49B95" w14:textId="77777777" w:rsidR="0060669E" w:rsidRPr="00CD2EFD" w:rsidRDefault="0060669E" w:rsidP="0060669E">
      <w:pPr>
        <w:jc w:val="both"/>
        <w:rPr>
          <w:b/>
          <w:bCs/>
          <w:sz w:val="20"/>
          <w:szCs w:val="20"/>
        </w:rPr>
      </w:pPr>
      <w:r w:rsidRPr="00CD2EFD">
        <w:rPr>
          <w:b/>
          <w:bCs/>
          <w:sz w:val="20"/>
          <w:szCs w:val="20"/>
        </w:rPr>
        <w:t>Cumplimiento parcial:</w:t>
      </w:r>
    </w:p>
    <w:p w14:paraId="41C16285" w14:textId="77777777" w:rsidR="0060669E" w:rsidRPr="00CD2EFD" w:rsidRDefault="0060669E" w:rsidP="0060669E">
      <w:pPr>
        <w:jc w:val="both"/>
        <w:rPr>
          <w:b/>
          <w:bCs/>
          <w:sz w:val="20"/>
          <w:szCs w:val="20"/>
        </w:rPr>
      </w:pPr>
    </w:p>
    <w:p w14:paraId="61E20B06" w14:textId="09F38254" w:rsidR="00CD2EFD" w:rsidRPr="00CD2EFD" w:rsidRDefault="00CD2EFD" w:rsidP="00CD2EFD">
      <w:pPr>
        <w:jc w:val="both"/>
        <w:rPr>
          <w:sz w:val="20"/>
          <w:szCs w:val="20"/>
        </w:rPr>
      </w:pPr>
      <w:r w:rsidRPr="00CD2EFD">
        <w:rPr>
          <w:sz w:val="20"/>
          <w:szCs w:val="20"/>
        </w:rPr>
        <w:t xml:space="preserve">5. </w:t>
      </w:r>
      <w:bookmarkStart w:id="0" w:name="_Hlk99448423"/>
      <w:r w:rsidR="00D63350">
        <w:rPr>
          <w:sz w:val="20"/>
          <w:szCs w:val="20"/>
        </w:rPr>
        <w:tab/>
      </w:r>
      <w:r w:rsidRPr="00CD2EFD">
        <w:rPr>
          <w:sz w:val="20"/>
          <w:szCs w:val="20"/>
        </w:rPr>
        <w:t>El Estado debe implementar un fondo de desarrollo comunitario, en los términos de los párrafos 213 a 215 de la Sentencia.</w:t>
      </w:r>
    </w:p>
    <w:p w14:paraId="55F2C030" w14:textId="77777777" w:rsidR="0060669E" w:rsidRDefault="0060669E" w:rsidP="0060669E">
      <w:pPr>
        <w:jc w:val="both"/>
        <w:rPr>
          <w:sz w:val="20"/>
        </w:rPr>
      </w:pPr>
    </w:p>
    <w:p w14:paraId="5CC3D4DE" w14:textId="64EF7FE2" w:rsidR="0060669E" w:rsidRDefault="0060669E" w:rsidP="0060669E">
      <w:pPr>
        <w:jc w:val="both"/>
        <w:rPr>
          <w:sz w:val="20"/>
        </w:rPr>
      </w:pPr>
      <w:r>
        <w:rPr>
          <w:sz w:val="20"/>
        </w:rPr>
        <w:t xml:space="preserve">En </w:t>
      </w:r>
      <w:r w:rsidR="00CD2EFD">
        <w:rPr>
          <w:sz w:val="20"/>
        </w:rPr>
        <w:t>la Resolución de 22 de noviembre de 2010 la Corte consideró que este punto resolutivo había sido parcialmente cumplido. No obstante, en la Resolución más reciente, de noviembre de 2018, dispuso lo siguiente:</w:t>
      </w:r>
    </w:p>
    <w:p w14:paraId="5FCA23E9" w14:textId="77777777" w:rsidR="0060669E" w:rsidRDefault="0060669E" w:rsidP="0060669E">
      <w:pPr>
        <w:jc w:val="both"/>
        <w:rPr>
          <w:sz w:val="20"/>
        </w:rPr>
      </w:pPr>
    </w:p>
    <w:p w14:paraId="60D1C3E8" w14:textId="77777777" w:rsidR="00CD2EFD" w:rsidRDefault="00CD2EFD" w:rsidP="00CD2EFD">
      <w:pPr>
        <w:ind w:left="709" w:right="709"/>
        <w:jc w:val="both"/>
      </w:pPr>
      <w:r>
        <w:t xml:space="preserve">42. Teniendo en consideración lo anterior, este Tribunal valora positivamente que, según lo informado por el Estado, éste pagó la totalidad del monto adeudado al fondo de desarrollo comunitario, aspecto reconocido por los representantes. Sin embargo, tal como lo hicieron notar los representantes, la Corte estima que existe falta de claridad sobre la forma en la que fueron invertidos estos fondos, particularmente teniendo en cuenta la construcción de las veinte viviendas antes identificadas, de las cuales solo dos se encontrarían habitadas, debido a la falta de una consulta efectiva con los integrantes de la comunidad, al igual que la falta de información precisa sobre las demás inversiones realizadas o por realizar a través del referido fondo. </w:t>
      </w:r>
    </w:p>
    <w:p w14:paraId="6CB729B5" w14:textId="77777777" w:rsidR="00CD2EFD" w:rsidRDefault="00CD2EFD" w:rsidP="00CD2EFD">
      <w:pPr>
        <w:ind w:left="709" w:right="709"/>
        <w:jc w:val="both"/>
      </w:pPr>
    </w:p>
    <w:p w14:paraId="5FD1CD0F" w14:textId="6A557D5C" w:rsidR="0060669E" w:rsidRPr="007C7214" w:rsidRDefault="00CD2EFD" w:rsidP="00CD2EFD">
      <w:pPr>
        <w:ind w:left="709" w:right="709"/>
        <w:jc w:val="both"/>
        <w:rPr>
          <w:sz w:val="20"/>
          <w:szCs w:val="32"/>
        </w:rPr>
      </w:pPr>
      <w:r>
        <w:t>43. En consecuencia, para declarar cumplido este punto, la Corte considera que aún no tiene información suficiente para valorar el cumplimiento de la presente medida, por cuanto el Estado no indicó los programas en los que se habría ejecutado dicho Fondo, así como tampoco de la composición del Comité de implementación del Fondo, el cual debía conformarse necesariamente en conjunto acuerdo con los representantes. En virtud de lo anterior, la Corte estima necesario que el Estado aporte información clara, precisa y detallada respecto de la inversión del fondo de desarrollo, específicamente indicando (i) cuánto dinero fue invertido en atención médica, vivienda y educación; (ii) cómo fue invertido el fondo, detallando los proyectos realizados y la continuidad de éste, y (iii) cómo está conformado el Comité de implementación del fondo, y cómo se tomó en cuenta a los representantes para ello.</w:t>
      </w:r>
      <w:bookmarkEnd w:id="0"/>
    </w:p>
    <w:sectPr w:rsidR="0060669E" w:rsidRPr="007C72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6E"/>
    <w:rsid w:val="0060669E"/>
    <w:rsid w:val="006F1C11"/>
    <w:rsid w:val="007C7214"/>
    <w:rsid w:val="00BA106E"/>
    <w:rsid w:val="00CD2EFD"/>
    <w:rsid w:val="00D63350"/>
    <w:rsid w:val="00DE36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A422"/>
  <w15:chartTrackingRefBased/>
  <w15:docId w15:val="{20FC8A27-8329-48D9-9EA6-800BCF1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1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Troconis</dc:creator>
  <cp:keywords/>
  <dc:description/>
  <cp:lastModifiedBy>Romina Troconis</cp:lastModifiedBy>
  <cp:revision>3</cp:revision>
  <dcterms:created xsi:type="dcterms:W3CDTF">2022-03-29T17:36:00Z</dcterms:created>
  <dcterms:modified xsi:type="dcterms:W3CDTF">2022-03-29T18:16:00Z</dcterms:modified>
</cp:coreProperties>
</file>